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74B6" w14:textId="388ECCBB" w:rsidR="00D568C5" w:rsidRPr="00D568C5" w:rsidRDefault="00D568C5" w:rsidP="00D568C5">
      <w:pPr>
        <w:spacing w:after="0" w:line="36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РОССИЙСКАЯ ФЕДЕРАЦИЯ</w:t>
      </w:r>
    </w:p>
    <w:p w14:paraId="0F05ADD9" w14:textId="5950F241" w:rsidR="00D568C5" w:rsidRPr="00D568C5" w:rsidRDefault="00D568C5" w:rsidP="00D568C5">
      <w:pPr>
        <w:spacing w:after="0" w:line="36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ЗАКОН КОСТРОМСКОЙ ОБЛАСТИ</w:t>
      </w:r>
    </w:p>
    <w:p w14:paraId="41F51EFF" w14:textId="116A9D07" w:rsidR="00D568C5" w:rsidRPr="00D568C5" w:rsidRDefault="00D568C5" w:rsidP="00D568C5">
      <w:pPr>
        <w:spacing w:after="0" w:line="36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от 29 июня 2016 года № 107-6-ЗКО</w:t>
      </w:r>
    </w:p>
    <w:p w14:paraId="35F97D39" w14:textId="4216E139" w:rsidR="00D568C5" w:rsidRPr="00D568C5" w:rsidRDefault="00D568C5" w:rsidP="00D568C5">
      <w:pPr>
        <w:spacing w:after="0" w:line="36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О ПОДДЕРЖКЕ ГРАЖДАН СТАРШЕГО ПОКОЛЕНИЯ В КОСТРОМСКОЙ ОБЛАСТИ</w:t>
      </w:r>
    </w:p>
    <w:p w14:paraId="18993F10" w14:textId="77777777" w:rsidR="00D568C5" w:rsidRDefault="00D568C5" w:rsidP="00D568C5">
      <w:pPr>
        <w:spacing w:after="0" w:line="240" w:lineRule="auto"/>
        <w:jc w:val="center"/>
        <w:rPr>
          <w:rFonts w:ascii="PT Sans" w:eastAsia="Times New Roman" w:hAnsi="PT Sans" w:cs="Times New Roman"/>
          <w:color w:val="2B2B2B"/>
          <w:sz w:val="24"/>
          <w:szCs w:val="24"/>
          <w:shd w:val="clear" w:color="auto" w:fill="FFFFFF"/>
          <w:lang w:eastAsia="ru-RU"/>
        </w:rPr>
      </w:pPr>
    </w:p>
    <w:p w14:paraId="728115D3" w14:textId="0AF29DB7" w:rsidR="00D568C5" w:rsidRDefault="00D568C5" w:rsidP="00D568C5">
      <w:pPr>
        <w:spacing w:after="0" w:line="240" w:lineRule="auto"/>
        <w:jc w:val="center"/>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Принят Костромской областной Думой 16 июня 2016 года</w:t>
      </w:r>
    </w:p>
    <w:p w14:paraId="75F425DC" w14:textId="02134233" w:rsidR="00D568C5" w:rsidRDefault="00D568C5" w:rsidP="00D568C5">
      <w:pPr>
        <w:spacing w:after="0" w:line="240" w:lineRule="auto"/>
        <w:jc w:val="center"/>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(в редакции законов Костромской области от 19.06.2017 № 261-6-ЗКО, от 27.11.2017 № 317-6-ЗКО, от 27.03.2018 № 363-6-ЗКО, от 24.12.2018 № 505-6-ЗКО, от 21.10.2019 № 613-6-ЗКО, от 26.04.2021 № 87-7-ЗКО, от 21.03.2022 № 184-7-ЗКО, от 26.04.2022 № 196-7-ЗКО, от 12.07.2022 № 248-7-ЗКО, от 25.11.2022 № 286-7-ЗКО, от 24.10.2023 № 406-7-ЗКО)</w:t>
      </w:r>
    </w:p>
    <w:p w14:paraId="37DF41F8" w14:textId="77777777" w:rsidR="00D568C5" w:rsidRDefault="00D568C5" w:rsidP="00D568C5">
      <w:pPr>
        <w:spacing w:after="0" w:line="240" w:lineRule="auto"/>
        <w:jc w:val="center"/>
        <w:rPr>
          <w:rFonts w:ascii="PT Sans" w:eastAsia="Times New Roman" w:hAnsi="PT Sans" w:cs="Times New Roman"/>
          <w:color w:val="2B2B2B"/>
          <w:sz w:val="24"/>
          <w:szCs w:val="24"/>
          <w:shd w:val="clear" w:color="auto" w:fill="FFFFFF"/>
          <w:lang w:eastAsia="ru-RU"/>
        </w:rPr>
      </w:pPr>
    </w:p>
    <w:p w14:paraId="597D5766" w14:textId="42B3AD7C" w:rsidR="00D568C5" w:rsidRPr="00D568C5" w:rsidRDefault="00D568C5" w:rsidP="00D568C5">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Статья 1. Предмет регулирования настоящего Закона</w:t>
      </w:r>
    </w:p>
    <w:p w14:paraId="5C4185BC" w14:textId="77777777" w:rsidR="00D568C5" w:rsidRDefault="00D568C5" w:rsidP="00D568C5">
      <w:pPr>
        <w:spacing w:after="0" w:line="240" w:lineRule="auto"/>
        <w:ind w:firstLine="567"/>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В целях формирования организационных, правовых, социально-экономических условий для осуществления мер по повышению качества жизни, социальной защищенности, по обеспечению доступности медицинской помощи, содействию активному участию граждан старшего поколения в возрасте от 65 лет и старше, проживающих на территории Костромской области (далее – граждане старшего поколения) в жизни общества, настоящим Законом устанавливаются: </w:t>
      </w:r>
    </w:p>
    <w:p w14:paraId="1C260CDE" w14:textId="77777777" w:rsidR="00D568C5" w:rsidRDefault="00D568C5" w:rsidP="00D568C5">
      <w:pPr>
        <w:spacing w:after="0" w:line="240" w:lineRule="auto"/>
        <w:ind w:firstLine="567"/>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(в редакции Закона Костромской области от 21.03.2022 3 184-7-ЗКО) </w:t>
      </w:r>
    </w:p>
    <w:p w14:paraId="75F93722" w14:textId="77777777" w:rsidR="00D568C5" w:rsidRDefault="00D568C5" w:rsidP="00D568C5">
      <w:pPr>
        <w:spacing w:after="0" w:line="240" w:lineRule="auto"/>
        <w:ind w:firstLine="567"/>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1) меры социальной поддержки граждан старшего поколения; </w:t>
      </w:r>
    </w:p>
    <w:p w14:paraId="475E0267" w14:textId="77777777" w:rsidR="00D568C5" w:rsidRDefault="00D568C5" w:rsidP="00D568C5">
      <w:pPr>
        <w:spacing w:after="0" w:line="240" w:lineRule="auto"/>
        <w:ind w:firstLine="567"/>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2) гарантии гражданам старшего поколения на получение бесплатной юридической помощи; </w:t>
      </w:r>
    </w:p>
    <w:p w14:paraId="14DBD3E5" w14:textId="77777777" w:rsidR="00D568C5" w:rsidRDefault="00D568C5" w:rsidP="00D568C5">
      <w:pPr>
        <w:spacing w:after="0" w:line="240" w:lineRule="auto"/>
        <w:ind w:firstLine="567"/>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3) приоритетные направления, связанные с обеспечением доступа граждан старшего поколения к информационным и образовательным ресурсам, формированием условий для организации досуга граждан старшего поколения. </w:t>
      </w:r>
    </w:p>
    <w:p w14:paraId="42C8DB8B" w14:textId="77777777" w:rsidR="00D568C5" w:rsidRDefault="00D568C5" w:rsidP="00D568C5">
      <w:pPr>
        <w:spacing w:after="0" w:line="240" w:lineRule="auto"/>
        <w:rPr>
          <w:rFonts w:ascii="PT Sans" w:eastAsia="Times New Roman" w:hAnsi="PT Sans" w:cs="Times New Roman"/>
          <w:color w:val="2B2B2B"/>
          <w:sz w:val="24"/>
          <w:szCs w:val="24"/>
          <w:shd w:val="clear" w:color="auto" w:fill="FFFFFF"/>
          <w:lang w:eastAsia="ru-RU"/>
        </w:rPr>
      </w:pPr>
    </w:p>
    <w:p w14:paraId="0E3E1047" w14:textId="76CDE78F" w:rsidR="00D568C5" w:rsidRPr="00D568C5" w:rsidRDefault="00D568C5" w:rsidP="00D568C5">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Статья 2. Правовая основа настоящего Закона</w:t>
      </w:r>
    </w:p>
    <w:p w14:paraId="5D3C6EC0" w14:textId="77777777" w:rsidR="00D568C5" w:rsidRDefault="00D568C5" w:rsidP="00D568C5">
      <w:pPr>
        <w:spacing w:after="0" w:line="240" w:lineRule="auto"/>
        <w:ind w:firstLine="567"/>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Правовой основой настоящего Закона являются Конституция Российской Федерации, Федеральный закон «Об общих принципах организации публичной власти в субъектах Российской Федерации», Устав Костромской области. (статья 2 в редакции Закона Костромской области от 26.04.2022 № 196-7-ЗКО) </w:t>
      </w:r>
    </w:p>
    <w:p w14:paraId="13EBE529" w14:textId="77777777" w:rsidR="00D568C5" w:rsidRDefault="00D568C5" w:rsidP="00D568C5">
      <w:pPr>
        <w:spacing w:after="0" w:line="240" w:lineRule="auto"/>
        <w:rPr>
          <w:rFonts w:ascii="PT Sans" w:eastAsia="Times New Roman" w:hAnsi="PT Sans" w:cs="Times New Roman"/>
          <w:color w:val="2B2B2B"/>
          <w:sz w:val="24"/>
          <w:szCs w:val="24"/>
          <w:shd w:val="clear" w:color="auto" w:fill="FFFFFF"/>
          <w:lang w:eastAsia="ru-RU"/>
        </w:rPr>
      </w:pPr>
    </w:p>
    <w:p w14:paraId="0C0B81F1" w14:textId="1E95195B" w:rsidR="00D568C5" w:rsidRPr="00B410CE" w:rsidRDefault="00D568C5" w:rsidP="00B410CE">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Статья 3. Меры социальной поддержки граждан старшего поколения</w:t>
      </w:r>
    </w:p>
    <w:p w14:paraId="35C7EE3B" w14:textId="77777777" w:rsidR="00D568C5"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1. Гражданам старшего поколения предоставляются следующие меры социальной поддержки: </w:t>
      </w:r>
    </w:p>
    <w:p w14:paraId="0F9E293C" w14:textId="77777777" w:rsidR="00D568C5"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1) внеочередной прием в организации социального обслуживания, предоставляющие социальные услуги в 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w:t>
      </w:r>
    </w:p>
    <w:p w14:paraId="33EF9E3C"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2) возмещение четыре раза в год 50 процентов стоимости проезда (к месту назначения и обратно) на железнодорожном транспорте или автомобильном транспорте общего пользования (междугороднее сообщение) в специализированную областную государственную медицинскую организацию, включенную в перечень, утвержденный администрацией Костромской области; </w:t>
      </w:r>
    </w:p>
    <w:p w14:paraId="4BE5083E" w14:textId="6F128119" w:rsidR="00D568C5"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(в редакции Закона Костромской области от 26.04.2021 № 87-7-ЗКО) </w:t>
      </w:r>
    </w:p>
    <w:p w14:paraId="3DF8C838"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lastRenderedPageBreak/>
        <w:t xml:space="preserve">3) возмещение один раз в год расходов на приобретение по рецепту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Федеральным законом от 12 апреля 2010 года № 61-ФЗ «Об обращении лекарственных средств» в размере фактических расходов, но не более 3 000 рублей; </w:t>
      </w:r>
    </w:p>
    <w:p w14:paraId="24167518"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(в новой редакции Закона Костромской области от 26.04.2021 № 87-7-ЗКО) </w:t>
      </w:r>
    </w:p>
    <w:p w14:paraId="13A3624D"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4) единовременные денежные выплаты в случае причинения ущерба в результате пожара: </w:t>
      </w:r>
    </w:p>
    <w:p w14:paraId="6D795BFF"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а) за частично утраченное имущество первой необходимости в размере 25 000 рублей; </w:t>
      </w:r>
    </w:p>
    <w:p w14:paraId="3479AA01" w14:textId="02F433F1"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(в редакции Закона Костромской области от 26.04.2021 № 87-7-ЗКО) </w:t>
      </w:r>
    </w:p>
    <w:p w14:paraId="34B44628"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б) за полностью утраченное имущество первой необходимости в размере 50 000 рублей. </w:t>
      </w:r>
    </w:p>
    <w:p w14:paraId="04E4D895"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(в редакции Закона Костромской области от 26.04.2021 № 87-7-ЗКО) </w:t>
      </w:r>
    </w:p>
    <w:p w14:paraId="1CED9068"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Единовременные денежные выплаты гражданам старшего поколения производятся независимо от страховых выплат, осуществляемых им страховщиками по заключенным договорам страхования; </w:t>
      </w:r>
    </w:p>
    <w:p w14:paraId="0C280BF8"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5) единовременная денежная выплата в размере фактических расходов, но не более 100 000 рублей, на газификацию жилого помещения, находящегося в собственности гражданина старшего поколения и расположенного на территории Костромской области, при условии, что гражданин старшего поколения не воспользовался правом на получение меры социальной поддержки (денежная выплата на внутридомовую газификацию жилого помещения до 1 декабря 2022 года или денежная выплата на газификацию жилого помещения после 1 декабря 2022 года) в соответствии с Законом Костромской области от 19 июля 2005 года № 292-ЗКО «О государственной социальной помощи в Костромской области» или меры социальной поддержки в виде единовременной денежной выплаты на </w:t>
      </w:r>
      <w:proofErr w:type="spellStart"/>
      <w:r w:rsidRPr="00D568C5">
        <w:rPr>
          <w:rFonts w:ascii="PT Sans" w:eastAsia="Times New Roman" w:hAnsi="PT Sans" w:cs="Times New Roman"/>
          <w:color w:val="2B2B2B"/>
          <w:sz w:val="24"/>
          <w:szCs w:val="24"/>
          <w:shd w:val="clear" w:color="auto" w:fill="FFFFFF"/>
          <w:lang w:eastAsia="ru-RU"/>
        </w:rPr>
        <w:t>догазификацию</w:t>
      </w:r>
      <w:proofErr w:type="spellEnd"/>
      <w:r w:rsidRPr="00D568C5">
        <w:rPr>
          <w:rFonts w:ascii="PT Sans" w:eastAsia="Times New Roman" w:hAnsi="PT Sans" w:cs="Times New Roman"/>
          <w:color w:val="2B2B2B"/>
          <w:sz w:val="24"/>
          <w:szCs w:val="24"/>
          <w:shd w:val="clear" w:color="auto" w:fill="FFFFFF"/>
          <w:lang w:eastAsia="ru-RU"/>
        </w:rPr>
        <w:t xml:space="preserve"> домовладения в соответствии с Законом Костромской области от 21 июля 2008 года № 351-4-ЗКО «О мерах социальной поддержки многодетных семей в Костромской области»; </w:t>
      </w:r>
    </w:p>
    <w:p w14:paraId="422E0B88" w14:textId="7B7D2CAE"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(пункт 5 в новой редакции Закона Костромской области от 25.11.2022 № 286-7-ЗКО) </w:t>
      </w:r>
    </w:p>
    <w:p w14:paraId="56F729ED"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6) ежегодная денежная выплата в размере фактических расходов, но не более 3 225 рублей на приобретение твердого топлива, при наличии печного отопления, исходя из фактической площади жилого помещения, приходящейся на гражданина старшего поколения, но не более регионального стандарта нормативной площади жилого помещения для предоставления мер социальной поддержки на оплату жилого помещения и коммунальных услуг, установленного постановлением администрации Костромской области, при отсутствии у гражданина старшего поколения права на получение мер социальной поддержки по оплате жилого помещения и коммунальных услуг, установленных федеральным и областным законодательством. </w:t>
      </w:r>
    </w:p>
    <w:p w14:paraId="32035F66" w14:textId="769BED9A"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(пункт 6 в редакции Законов Костромской области от 24.12.2018 № 505-6-ЗКО, от 26.04.2021 № 87-7-ЗКО, от 21.03.2022 3 184-7-ЗКО) </w:t>
      </w:r>
    </w:p>
    <w:p w14:paraId="01C2446A"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7) ежемесячная денежная компенсация в размере 50 процентов стоимости понесенных расходов по оказанию комплекса специализированных услуг круглосуточной экстренной помощи - «тревожная кнопка» (далее – услуга «тревожная кнопка») </w:t>
      </w:r>
    </w:p>
    <w:p w14:paraId="361BC200" w14:textId="63104209"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(пункт 7 введен Законом Костромской области от 24.12.2018 № 505-6-ЗКО) </w:t>
      </w:r>
    </w:p>
    <w:p w14:paraId="56B5CE44"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1.1 Под расходами на газификацию жилого помещения, предусмотренными пунктом 5 части 1 настоящей статьи, понимаются расходы, связанные с подключением (технологическим присоединением) в пределах границ земельного участка, на котором </w:t>
      </w:r>
      <w:r w:rsidRPr="00D568C5">
        <w:rPr>
          <w:rFonts w:ascii="PT Sans" w:eastAsia="Times New Roman" w:hAnsi="PT Sans" w:cs="Times New Roman"/>
          <w:color w:val="2B2B2B"/>
          <w:sz w:val="24"/>
          <w:szCs w:val="24"/>
          <w:shd w:val="clear" w:color="auto" w:fill="FFFFFF"/>
          <w:lang w:eastAsia="ru-RU"/>
        </w:rPr>
        <w:lastRenderedPageBreak/>
        <w:t xml:space="preserve">находится жилое помещение, и (или) на проектирование сети газопотребления, и (или) на установку газоиспользующего оборудования, и (или) на строительство либо реконструкцию внутреннего газопровода, и (или) на установку прибора учета газа, и (или) на поставку (приобретение) газоиспользующего оборудования, и (или) на поставку (приобретение) прибора учета газа. </w:t>
      </w:r>
    </w:p>
    <w:p w14:paraId="3E0647DB" w14:textId="0EF48C44"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(часть 1.1 введена Законом Костромской области от 25.11.2022 № 286-7-ЗКО) </w:t>
      </w:r>
    </w:p>
    <w:p w14:paraId="1259829D"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2. Меры социальной поддержки, предусмотренные в пунктах 2 и 3 части 1 настоящей статьи, предоставляются гражданину старшего поколения, чей среднедушевой доход на дату обращения, рассчитанный в соответствии с порядком определения среднедушевого дохода для предоставления мер социальной поддержки, установленным администрацией Костромской области, ниже или равен двукратной величине прожиточного минимума, установленного в Костромской области для пенсионеров. Мера социальной поддержки, предусмотренная пунктом 7 части 1 настоящей статьи, оказывается одиноко проживающему гражданину старшего поколения, признанному нуждающимся в предоставлении услуги «тревожная кнопка» в порядке, установленном постановлением администрации Костромской области. (абзац введен Законом Костромской области от 24.12.2018 № 505-6-ЗКО) </w:t>
      </w:r>
    </w:p>
    <w:p w14:paraId="633ED4CB" w14:textId="11FF833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(ч. 2 в редакции Закона Костромской области № 261-6-ЗКО от 19.06.2017 года (НГР RU44000201700512)) </w:t>
      </w:r>
    </w:p>
    <w:p w14:paraId="0D804316" w14:textId="77777777"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3. Порядок предоставления мер социальной поддержки гражданам старшего поколения, указанных в настоящей статье, определяется постановлением администрации Костромской области. 4. Информация о предоставлении мер социальной поддержки гражданам старшего поколения в соответствии с настоящей статьей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 </w:t>
      </w:r>
    </w:p>
    <w:p w14:paraId="60C0F35C" w14:textId="62590E23" w:rsidR="00B410CE" w:rsidRDefault="00D568C5" w:rsidP="00B410CE">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(часть 4 дополнена Законом Костромской области от 27.03.2018 № 363-6-ЗКО, от 24.10.2023 № 406-7-ЗКО)</w:t>
      </w:r>
    </w:p>
    <w:p w14:paraId="0C582CA4" w14:textId="77777777" w:rsidR="00B410CE" w:rsidRDefault="00B410CE" w:rsidP="00D568C5">
      <w:pPr>
        <w:spacing w:after="0" w:line="240" w:lineRule="auto"/>
        <w:rPr>
          <w:rFonts w:ascii="PT Sans" w:eastAsia="Times New Roman" w:hAnsi="PT Sans" w:cs="Times New Roman"/>
          <w:color w:val="2B2B2B"/>
          <w:sz w:val="24"/>
          <w:szCs w:val="24"/>
          <w:shd w:val="clear" w:color="auto" w:fill="FFFFFF"/>
          <w:lang w:eastAsia="ru-RU"/>
        </w:rPr>
      </w:pPr>
    </w:p>
    <w:p w14:paraId="5651EE00" w14:textId="77777777" w:rsidR="00C93C24" w:rsidRDefault="00D568C5" w:rsidP="00B410CE">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 xml:space="preserve">Статья 4. Гарантии гражданам старшего поколения </w:t>
      </w:r>
    </w:p>
    <w:p w14:paraId="248D67F5" w14:textId="1DA4CCCF" w:rsidR="00B410CE" w:rsidRPr="00B410CE" w:rsidRDefault="00D568C5" w:rsidP="00B410CE">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на получение бесплатной юридической помощи</w:t>
      </w:r>
    </w:p>
    <w:p w14:paraId="1B274669" w14:textId="77777777" w:rsidR="00B410CE" w:rsidRDefault="00D568C5" w:rsidP="00B410CE">
      <w:pPr>
        <w:spacing w:after="0" w:line="240" w:lineRule="auto"/>
        <w:ind w:firstLine="709"/>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Граждане старшего поколения имеют право на получение всех видов бесплатной юридической помощи, предусмотренных статьей 3 Закона Костромской области от 18 июня 2012 года № 248-5-ЗКО «О бесплатной юридической помощи в Костромской области», в рамках государственной системы бесплатной юридической помощи. </w:t>
      </w:r>
    </w:p>
    <w:p w14:paraId="2E7D72AB" w14:textId="77777777" w:rsidR="00C93C24" w:rsidRDefault="00C93C24" w:rsidP="00B410CE">
      <w:pPr>
        <w:spacing w:after="0" w:line="240" w:lineRule="auto"/>
        <w:jc w:val="center"/>
        <w:rPr>
          <w:rFonts w:ascii="PT Sans" w:eastAsia="Times New Roman" w:hAnsi="PT Sans" w:cs="Times New Roman"/>
          <w:b/>
          <w:bCs/>
          <w:color w:val="2B2B2B"/>
          <w:sz w:val="24"/>
          <w:szCs w:val="24"/>
          <w:shd w:val="clear" w:color="auto" w:fill="FFFFFF"/>
          <w:lang w:eastAsia="ru-RU"/>
        </w:rPr>
      </w:pPr>
    </w:p>
    <w:p w14:paraId="2D2310C0" w14:textId="77777777" w:rsidR="00C93C24" w:rsidRDefault="00D568C5" w:rsidP="00B410CE">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 xml:space="preserve">Статья 5. </w:t>
      </w:r>
      <w:proofErr w:type="gramStart"/>
      <w:r w:rsidRPr="00D568C5">
        <w:rPr>
          <w:rFonts w:ascii="PT Sans" w:eastAsia="Times New Roman" w:hAnsi="PT Sans" w:cs="Times New Roman"/>
          <w:b/>
          <w:bCs/>
          <w:color w:val="2B2B2B"/>
          <w:sz w:val="24"/>
          <w:szCs w:val="24"/>
          <w:shd w:val="clear" w:color="auto" w:fill="FFFFFF"/>
          <w:lang w:eastAsia="ru-RU"/>
        </w:rPr>
        <w:t>Приоритетные  направления</w:t>
      </w:r>
      <w:proofErr w:type="gramEnd"/>
      <w:r w:rsidRPr="00D568C5">
        <w:rPr>
          <w:rFonts w:ascii="PT Sans" w:eastAsia="Times New Roman" w:hAnsi="PT Sans" w:cs="Times New Roman"/>
          <w:b/>
          <w:bCs/>
          <w:color w:val="2B2B2B"/>
          <w:sz w:val="24"/>
          <w:szCs w:val="24"/>
          <w:shd w:val="clear" w:color="auto" w:fill="FFFFFF"/>
          <w:lang w:eastAsia="ru-RU"/>
        </w:rPr>
        <w:t xml:space="preserve">, связанные с обеспечением </w:t>
      </w:r>
    </w:p>
    <w:p w14:paraId="399BF5BC" w14:textId="202456CF" w:rsidR="00B410CE" w:rsidRPr="00B410CE" w:rsidRDefault="00D568C5" w:rsidP="00B410CE">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доступа граждан старшего поколения к информационным и образовательным ресурсам, формированием условий для организации досуга граждан старшего поколения</w:t>
      </w:r>
    </w:p>
    <w:p w14:paraId="2B98B6D3"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1. Приоритетное направление, связанное с обеспечением доступа граждан старшего поколения к информационным и образовательным ресурсам, включает в себя: </w:t>
      </w:r>
    </w:p>
    <w:p w14:paraId="5454145D"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1) развитие добровольчества (</w:t>
      </w:r>
      <w:proofErr w:type="spellStart"/>
      <w:r w:rsidRPr="00D568C5">
        <w:rPr>
          <w:rFonts w:ascii="PT Sans" w:eastAsia="Times New Roman" w:hAnsi="PT Sans" w:cs="Times New Roman"/>
          <w:color w:val="2B2B2B"/>
          <w:sz w:val="24"/>
          <w:szCs w:val="24"/>
          <w:shd w:val="clear" w:color="auto" w:fill="FFFFFF"/>
          <w:lang w:eastAsia="ru-RU"/>
        </w:rPr>
        <w:t>волонтерства</w:t>
      </w:r>
      <w:proofErr w:type="spellEnd"/>
      <w:r w:rsidRPr="00D568C5">
        <w:rPr>
          <w:rFonts w:ascii="PT Sans" w:eastAsia="Times New Roman" w:hAnsi="PT Sans" w:cs="Times New Roman"/>
          <w:color w:val="2B2B2B"/>
          <w:sz w:val="24"/>
          <w:szCs w:val="24"/>
          <w:shd w:val="clear" w:color="auto" w:fill="FFFFFF"/>
          <w:lang w:eastAsia="ru-RU"/>
        </w:rPr>
        <w:t xml:space="preserve">) в сфере обучения граждан старшего поколения; </w:t>
      </w:r>
    </w:p>
    <w:p w14:paraId="22720551"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2) обеспечение доступа граждан старшего поколения к информационным ресурсам; </w:t>
      </w:r>
    </w:p>
    <w:p w14:paraId="19973EEB"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3) повышение уровня финансовой грамотности граждан старшего поколения; </w:t>
      </w:r>
    </w:p>
    <w:p w14:paraId="1AD70682"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lastRenderedPageBreak/>
        <w:t xml:space="preserve">4) повышение доступности получения услуг гражданами старшего поколения, в том числе при помощи Единого портала государственных и муниципальных услуг (функций); </w:t>
      </w:r>
    </w:p>
    <w:p w14:paraId="08DCF7D8"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5) развитие услуг по обучению граждан старшего поколения компьютерной грамотности, по формированию у граждан старшего поколения функциональной грамотности (правовой, грамотности в сфере жилищно-коммунального хозяйства и других видов грамотности). </w:t>
      </w:r>
    </w:p>
    <w:p w14:paraId="09D2C9E7"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2. Приоритетное направление, связанное с формированием условий для организации досуга граждан старшего поколения, включает в себя: </w:t>
      </w:r>
    </w:p>
    <w:p w14:paraId="4E456635"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1) обеспечение доступности физкультурно-спортивных услуг для граждан старшего поколения; </w:t>
      </w:r>
    </w:p>
    <w:p w14:paraId="51EA46A2"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2) пропаганду физической культуры и спорта среди граждан старшего поколения; </w:t>
      </w:r>
    </w:p>
    <w:p w14:paraId="7B08ADB6" w14:textId="77777777" w:rsidR="00B410C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3) создание условий для физкультурно-оздоровительных занятий граждан старшего поколения в организациях сферы физической культуры и спорта и социального обслуживания; </w:t>
      </w:r>
    </w:p>
    <w:p w14:paraId="5CB8B224" w14:textId="77777777" w:rsidR="00FA21D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4) привлечение волонтеров (инструкторов по физической культуре и спорту) для работы с гражданами старшего поколения; </w:t>
      </w:r>
    </w:p>
    <w:p w14:paraId="1C588936" w14:textId="77777777" w:rsidR="00FA21D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5) обеспечение доступности мероприятий в сфере культуры, направленных на удовлетворение творческих потребностей граждан старшего поколения; </w:t>
      </w:r>
    </w:p>
    <w:p w14:paraId="618A8ACC" w14:textId="77777777" w:rsidR="00FA21D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6) создание механизма организации социального туризма для граждан старшего поколения. </w:t>
      </w:r>
    </w:p>
    <w:p w14:paraId="422216B0" w14:textId="77777777" w:rsidR="00FA21DE" w:rsidRDefault="00D568C5" w:rsidP="00C93C24">
      <w:pPr>
        <w:spacing w:after="0" w:line="240" w:lineRule="auto"/>
        <w:ind w:firstLine="851"/>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3. Органы государственной власти Костромской области, органы местного самоуправления муниципальных образований Костромской области реализуют приоритетные направления, указанные в частях 1 и 2 настоящей статьи, в соответствии с документами стратегического планирования, а также принимаемыми в пределах компетенции нормативными правовыми актами Костромской области, муниципальными нормативными актами. </w:t>
      </w:r>
    </w:p>
    <w:p w14:paraId="4B0728CB" w14:textId="77777777" w:rsidR="00FA21DE" w:rsidRDefault="00FA21DE" w:rsidP="00D568C5">
      <w:pPr>
        <w:spacing w:after="0" w:line="240" w:lineRule="auto"/>
        <w:rPr>
          <w:rFonts w:ascii="PT Sans" w:eastAsia="Times New Roman" w:hAnsi="PT Sans" w:cs="Times New Roman"/>
          <w:color w:val="2B2B2B"/>
          <w:sz w:val="24"/>
          <w:szCs w:val="24"/>
          <w:shd w:val="clear" w:color="auto" w:fill="FFFFFF"/>
          <w:lang w:eastAsia="ru-RU"/>
        </w:rPr>
      </w:pPr>
    </w:p>
    <w:p w14:paraId="171B3D78" w14:textId="0B11D826" w:rsidR="00FA21DE" w:rsidRPr="00FA21DE" w:rsidRDefault="00D568C5" w:rsidP="00FA21DE">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Статья 6. Финансовое обеспечение настоящего Закона</w:t>
      </w:r>
    </w:p>
    <w:p w14:paraId="701FFB13" w14:textId="316BFED0" w:rsidR="00FA21DE" w:rsidRDefault="00D568C5" w:rsidP="00C93C24">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Расходы, связанные с реализацией настоящего Закона, относятся к расходным обязательствам Костромской области и финансируются за счет средств областного бюджета. </w:t>
      </w:r>
    </w:p>
    <w:p w14:paraId="3234DF6C" w14:textId="77777777" w:rsidR="00FA21DE" w:rsidRDefault="00FA21DE" w:rsidP="00D568C5">
      <w:pPr>
        <w:spacing w:after="0" w:line="240" w:lineRule="auto"/>
        <w:rPr>
          <w:rFonts w:ascii="PT Sans" w:eastAsia="Times New Roman" w:hAnsi="PT Sans" w:cs="Times New Roman"/>
          <w:color w:val="2B2B2B"/>
          <w:sz w:val="24"/>
          <w:szCs w:val="24"/>
          <w:shd w:val="clear" w:color="auto" w:fill="FFFFFF"/>
          <w:lang w:eastAsia="ru-RU"/>
        </w:rPr>
      </w:pPr>
    </w:p>
    <w:p w14:paraId="3110E6E6" w14:textId="7076D427" w:rsidR="00FA21DE" w:rsidRPr="00FA21DE" w:rsidRDefault="00D568C5" w:rsidP="00FA21DE">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Статья 7. Переходные положения</w:t>
      </w:r>
    </w:p>
    <w:p w14:paraId="5ED56FB8" w14:textId="17FC365D" w:rsidR="00C93C24" w:rsidRDefault="00D568C5" w:rsidP="00C93C24">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Меры социальной поддержки граждан старшего поколения, установленные в пунктах 2 – 6 части 1 статьи 3 настоящего Закона, предоставляются в 2016 году в отношении возникших после 31 июля 2016 года у граждан старшего поколения расходов (ущерба).  </w:t>
      </w:r>
    </w:p>
    <w:p w14:paraId="41BE4455" w14:textId="77777777" w:rsidR="00C93C24" w:rsidRDefault="00C93C24" w:rsidP="00C93C24">
      <w:pPr>
        <w:spacing w:after="0" w:line="240" w:lineRule="auto"/>
        <w:ind w:firstLine="709"/>
        <w:rPr>
          <w:rFonts w:ascii="PT Sans" w:eastAsia="Times New Roman" w:hAnsi="PT Sans" w:cs="Times New Roman"/>
          <w:color w:val="2B2B2B"/>
          <w:sz w:val="24"/>
          <w:szCs w:val="24"/>
          <w:shd w:val="clear" w:color="auto" w:fill="FFFFFF"/>
          <w:lang w:eastAsia="ru-RU"/>
        </w:rPr>
      </w:pPr>
    </w:p>
    <w:p w14:paraId="51CD1519" w14:textId="3B5053B6" w:rsidR="00C93C24" w:rsidRPr="00C93C24" w:rsidRDefault="00D568C5" w:rsidP="00C93C24">
      <w:pPr>
        <w:spacing w:after="0" w:line="240" w:lineRule="auto"/>
        <w:jc w:val="center"/>
        <w:rPr>
          <w:rFonts w:ascii="PT Sans" w:eastAsia="Times New Roman" w:hAnsi="PT Sans" w:cs="Times New Roman"/>
          <w:b/>
          <w:bCs/>
          <w:color w:val="2B2B2B"/>
          <w:sz w:val="24"/>
          <w:szCs w:val="24"/>
          <w:shd w:val="clear" w:color="auto" w:fill="FFFFFF"/>
          <w:lang w:eastAsia="ru-RU"/>
        </w:rPr>
      </w:pPr>
      <w:r w:rsidRPr="00D568C5">
        <w:rPr>
          <w:rFonts w:ascii="PT Sans" w:eastAsia="Times New Roman" w:hAnsi="PT Sans" w:cs="Times New Roman"/>
          <w:b/>
          <w:bCs/>
          <w:color w:val="2B2B2B"/>
          <w:sz w:val="24"/>
          <w:szCs w:val="24"/>
          <w:shd w:val="clear" w:color="auto" w:fill="FFFFFF"/>
          <w:lang w:eastAsia="ru-RU"/>
        </w:rPr>
        <w:t>Статья 8. Вступление в силу настоящего Закона</w:t>
      </w:r>
    </w:p>
    <w:p w14:paraId="38391746" w14:textId="77777777" w:rsidR="00C93C24" w:rsidRDefault="00D568C5" w:rsidP="00C93C24">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Настоящий Закон вступает в силу с 1 августа 2016 года и действует по 31 декабря 2025 года включительно. </w:t>
      </w:r>
    </w:p>
    <w:p w14:paraId="5A6713F9" w14:textId="77777777" w:rsidR="00C93C24" w:rsidRDefault="00D568C5" w:rsidP="00C93C24">
      <w:pPr>
        <w:spacing w:after="0" w:line="240" w:lineRule="auto"/>
        <w:ind w:firstLine="709"/>
        <w:jc w:val="both"/>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(статья 8 в редакции законов Костромской области № 317-6-ЗКО от 27.11.2017 года, от 24.12.2018 № 505-6-ЗКО, от 21.10.2019 № 613-6-ЗКО, от 12.07.2022 № 248-7-ЗКО) </w:t>
      </w:r>
    </w:p>
    <w:p w14:paraId="32EF264D" w14:textId="77777777" w:rsidR="00C93C24" w:rsidRDefault="00C93C24" w:rsidP="00D568C5">
      <w:pPr>
        <w:spacing w:after="0" w:line="240" w:lineRule="auto"/>
        <w:rPr>
          <w:rFonts w:ascii="PT Sans" w:eastAsia="Times New Roman" w:hAnsi="PT Sans" w:cs="Times New Roman"/>
          <w:color w:val="2B2B2B"/>
          <w:sz w:val="24"/>
          <w:szCs w:val="24"/>
          <w:shd w:val="clear" w:color="auto" w:fill="FFFFFF"/>
          <w:lang w:eastAsia="ru-RU"/>
        </w:rPr>
      </w:pPr>
    </w:p>
    <w:p w14:paraId="3E6A8850" w14:textId="77777777" w:rsidR="00C93C24" w:rsidRDefault="00D568C5" w:rsidP="00C93C24">
      <w:pPr>
        <w:spacing w:after="0" w:line="240" w:lineRule="auto"/>
        <w:rPr>
          <w:rFonts w:ascii="PT Sans" w:eastAsia="Times New Roman" w:hAnsi="PT Sans" w:cs="Times New Roman"/>
          <w:color w:val="2B2B2B"/>
          <w:sz w:val="24"/>
          <w:szCs w:val="24"/>
          <w:shd w:val="clear" w:color="auto" w:fill="FFFFFF"/>
          <w:lang w:eastAsia="ru-RU"/>
        </w:rPr>
      </w:pPr>
      <w:r w:rsidRPr="00D568C5">
        <w:rPr>
          <w:rFonts w:ascii="PT Sans" w:eastAsia="Times New Roman" w:hAnsi="PT Sans" w:cs="Times New Roman"/>
          <w:color w:val="2B2B2B"/>
          <w:sz w:val="24"/>
          <w:szCs w:val="24"/>
          <w:shd w:val="clear" w:color="auto" w:fill="FFFFFF"/>
          <w:lang w:eastAsia="ru-RU"/>
        </w:rPr>
        <w:t xml:space="preserve">Губернатор Костромской области С. Ситников Кострома </w:t>
      </w:r>
    </w:p>
    <w:p w14:paraId="1E50CB4F" w14:textId="78A3C932" w:rsidR="00AF56FB" w:rsidRPr="00C93C24" w:rsidRDefault="00D568C5" w:rsidP="00C93C24">
      <w:pPr>
        <w:spacing w:after="0" w:line="240" w:lineRule="auto"/>
        <w:rPr>
          <w:rFonts w:ascii="Times New Roman" w:eastAsia="Times New Roman" w:hAnsi="Times New Roman" w:cs="Times New Roman"/>
          <w:sz w:val="24"/>
          <w:szCs w:val="24"/>
          <w:lang w:eastAsia="ru-RU"/>
        </w:rPr>
      </w:pPr>
      <w:r w:rsidRPr="00D568C5">
        <w:rPr>
          <w:rFonts w:ascii="PT Sans" w:eastAsia="Times New Roman" w:hAnsi="PT Sans" w:cs="Times New Roman"/>
          <w:color w:val="2B2B2B"/>
          <w:sz w:val="24"/>
          <w:szCs w:val="24"/>
          <w:shd w:val="clear" w:color="auto" w:fill="FFFFFF"/>
          <w:lang w:eastAsia="ru-RU"/>
        </w:rPr>
        <w:t>29 июня 2016 года № 107-6-ЗКО</w:t>
      </w:r>
    </w:p>
    <w:sectPr w:rsidR="00AF56FB" w:rsidRPr="00C93C24" w:rsidSect="00C93C24">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C5"/>
    <w:rsid w:val="00AF56FB"/>
    <w:rsid w:val="00B410CE"/>
    <w:rsid w:val="00C93C24"/>
    <w:rsid w:val="00D568C5"/>
    <w:rsid w:val="00FA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BF0A"/>
  <w15:chartTrackingRefBased/>
  <w15:docId w15:val="{7C471D38-8E79-4510-804A-0E642333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09982">
      <w:bodyDiv w:val="1"/>
      <w:marLeft w:val="0"/>
      <w:marRight w:val="0"/>
      <w:marTop w:val="0"/>
      <w:marBottom w:val="0"/>
      <w:divBdr>
        <w:top w:val="none" w:sz="0" w:space="0" w:color="auto"/>
        <w:left w:val="none" w:sz="0" w:space="0" w:color="auto"/>
        <w:bottom w:val="none" w:sz="0" w:space="0" w:color="auto"/>
        <w:right w:val="none" w:sz="0" w:space="0" w:color="auto"/>
      </w:divBdr>
    </w:div>
    <w:div w:id="17092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1717</Words>
  <Characters>9789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2</cp:revision>
  <dcterms:created xsi:type="dcterms:W3CDTF">2024-01-18T07:54:00Z</dcterms:created>
  <dcterms:modified xsi:type="dcterms:W3CDTF">2024-01-18T08:39:00Z</dcterms:modified>
</cp:coreProperties>
</file>