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53" w:rsidRDefault="002C4753" w:rsidP="00D65EC8">
      <w:pPr>
        <w:jc w:val="right"/>
        <w:rPr>
          <w:color w:val="000000"/>
        </w:rPr>
      </w:pPr>
      <w:r>
        <w:rPr>
          <w:color w:val="000000"/>
        </w:rPr>
        <w:t xml:space="preserve">Утвеждено   </w:t>
      </w:r>
    </w:p>
    <w:p w:rsidR="002C4753" w:rsidRDefault="002C4753" w:rsidP="00D65EC8">
      <w:pPr>
        <w:jc w:val="right"/>
        <w:rPr>
          <w:color w:val="000000"/>
        </w:rPr>
      </w:pPr>
      <w:r>
        <w:rPr>
          <w:color w:val="000000"/>
        </w:rPr>
        <w:t xml:space="preserve">Приказом № 227 от 29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</w:rPr>
          <w:t>2017 г</w:t>
        </w:r>
      </w:smartTag>
      <w:r>
        <w:rPr>
          <w:color w:val="000000"/>
        </w:rPr>
        <w:t>.</w:t>
      </w:r>
    </w:p>
    <w:p w:rsidR="002C4753" w:rsidRDefault="002C4753" w:rsidP="004666A7">
      <w:pPr>
        <w:pStyle w:val="a"/>
        <w:spacing w:before="3040"/>
      </w:pPr>
      <w:r>
        <w:t>ПОЛОЖЕНИЕ</w:t>
      </w:r>
    </w:p>
    <w:p w:rsidR="002C4753" w:rsidRDefault="002C4753" w:rsidP="004666A7">
      <w:pPr>
        <w:pStyle w:val="a"/>
      </w:pPr>
      <w:r>
        <w:t>ОБ ОБЕСПЕЧЕНИИ БЕЗОПАСНОСТИ ПЕРСОНАЛЬНЫХ ДАННЫХ</w:t>
      </w:r>
    </w:p>
    <w:p w:rsidR="002C4753" w:rsidRDefault="002C4753" w:rsidP="00FF657D">
      <w:pPr>
        <w:spacing w:before="8040"/>
        <w:ind w:firstLine="0"/>
        <w:jc w:val="center"/>
        <w:sectPr w:rsidR="002C4753" w:rsidSect="003162E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Поназырево,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</w:t>
      </w:r>
    </w:p>
    <w:p w:rsidR="002C4753" w:rsidRDefault="002C4753" w:rsidP="0063599B">
      <w:pPr>
        <w:pStyle w:val="TOCHeading"/>
        <w:spacing w:after="240" w:line="240" w:lineRule="auto"/>
        <w:jc w:val="center"/>
        <w:rPr>
          <w:rStyle w:val="Heading1Char"/>
          <w:sz w:val="28"/>
        </w:rPr>
      </w:pPr>
      <w:r>
        <w:rPr>
          <w:rStyle w:val="Heading1Char"/>
          <w:sz w:val="28"/>
        </w:rPr>
        <w:t>ОГЛАВЛЕНИЕ</w:t>
      </w:r>
    </w:p>
    <w:p w:rsidR="002C4753" w:rsidRDefault="002C4753" w:rsidP="0063599B">
      <w:pPr>
        <w:pStyle w:val="TOC1"/>
        <w:tabs>
          <w:tab w:val="left" w:pos="440"/>
          <w:tab w:val="right" w:leader="dot" w:pos="9345"/>
        </w:tabs>
        <w:jc w:val="left"/>
        <w:rPr>
          <w:b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2601160" w:history="1">
        <w:r>
          <w:rPr>
            <w:rStyle w:val="Hyperlink"/>
            <w:b/>
          </w:rPr>
          <w:t>1. ТЕРМИНЫ И СОКРАЩЕНИЯ</w:t>
        </w:r>
        <w:r>
          <w:rPr>
            <w:b/>
            <w:webHidden/>
          </w:rPr>
          <w:tab/>
        </w:r>
        <w:r>
          <w:rPr>
            <w:b/>
            <w:webHidden/>
          </w:rPr>
          <w:fldChar w:fldCharType="begin"/>
        </w:r>
        <w:r>
          <w:rPr>
            <w:b/>
            <w:webHidden/>
          </w:rPr>
          <w:instrText xml:space="preserve"> PAGEREF _Toc512601160 \h </w:instrText>
        </w:r>
        <w:r w:rsidRPr="00D65EC8">
          <w:rPr>
            <w:b/>
          </w:rPr>
        </w:r>
        <w:r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>
          <w:rPr>
            <w:b/>
            <w:webHidden/>
          </w:rPr>
          <w:fldChar w:fldCharType="end"/>
        </w:r>
      </w:hyperlink>
    </w:p>
    <w:p w:rsidR="002C4753" w:rsidRDefault="002C4753" w:rsidP="0063599B">
      <w:pPr>
        <w:pStyle w:val="TOC1"/>
        <w:tabs>
          <w:tab w:val="left" w:pos="440"/>
          <w:tab w:val="right" w:leader="dot" w:pos="9345"/>
        </w:tabs>
        <w:jc w:val="left"/>
        <w:rPr>
          <w:b/>
        </w:rPr>
      </w:pPr>
      <w:hyperlink w:anchor="_Toc512601161" w:history="1">
        <w:r>
          <w:rPr>
            <w:rStyle w:val="Hyperlink"/>
            <w:b/>
          </w:rPr>
          <w:t>2. ОБЛАСТЬ ПРИМЕНЕНИЯ</w:t>
        </w:r>
        <w:r>
          <w:rPr>
            <w:b/>
            <w:webHidden/>
          </w:rPr>
          <w:tab/>
        </w:r>
        <w:r>
          <w:rPr>
            <w:b/>
            <w:webHidden/>
          </w:rPr>
          <w:fldChar w:fldCharType="begin"/>
        </w:r>
        <w:r>
          <w:rPr>
            <w:b/>
            <w:webHidden/>
          </w:rPr>
          <w:instrText xml:space="preserve"> PAGEREF _Toc512601161 \h </w:instrText>
        </w:r>
        <w:r w:rsidRPr="00D65EC8">
          <w:rPr>
            <w:b/>
          </w:rPr>
        </w:r>
        <w:r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>
          <w:rPr>
            <w:b/>
            <w:webHidden/>
          </w:rPr>
          <w:fldChar w:fldCharType="end"/>
        </w:r>
      </w:hyperlink>
    </w:p>
    <w:p w:rsidR="002C4753" w:rsidRDefault="002C4753" w:rsidP="0063599B">
      <w:pPr>
        <w:pStyle w:val="TOC1"/>
        <w:tabs>
          <w:tab w:val="left" w:pos="440"/>
          <w:tab w:val="right" w:leader="dot" w:pos="9345"/>
        </w:tabs>
        <w:jc w:val="left"/>
        <w:rPr>
          <w:b/>
        </w:rPr>
      </w:pPr>
      <w:hyperlink w:anchor="_Toc512601162" w:history="1">
        <w:r>
          <w:rPr>
            <w:rStyle w:val="Hyperlink"/>
            <w:b/>
          </w:rPr>
          <w:t>3. ОБЩИЕ ПОЛОЖЕНИЯ</w:t>
        </w:r>
        <w:r>
          <w:rPr>
            <w:b/>
            <w:webHidden/>
          </w:rPr>
          <w:tab/>
        </w:r>
        <w:r>
          <w:rPr>
            <w:b/>
            <w:webHidden/>
          </w:rPr>
          <w:fldChar w:fldCharType="begin"/>
        </w:r>
        <w:r>
          <w:rPr>
            <w:b/>
            <w:webHidden/>
          </w:rPr>
          <w:instrText xml:space="preserve"> PAGEREF _Toc512601162 \h </w:instrText>
        </w:r>
        <w:r w:rsidRPr="00D65EC8">
          <w:rPr>
            <w:b/>
          </w:rPr>
        </w:r>
        <w:r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>
          <w:rPr>
            <w:b/>
            <w:webHidden/>
          </w:rPr>
          <w:fldChar w:fldCharType="end"/>
        </w:r>
      </w:hyperlink>
    </w:p>
    <w:p w:rsidR="002C4753" w:rsidRDefault="002C4753" w:rsidP="0063599B">
      <w:pPr>
        <w:pStyle w:val="TOC1"/>
        <w:tabs>
          <w:tab w:val="left" w:pos="440"/>
          <w:tab w:val="right" w:leader="dot" w:pos="9345"/>
        </w:tabs>
        <w:jc w:val="left"/>
        <w:rPr>
          <w:b/>
        </w:rPr>
      </w:pPr>
      <w:hyperlink w:anchor="_Toc512601163" w:history="1">
        <w:r>
          <w:rPr>
            <w:rStyle w:val="Hyperlink"/>
            <w:b/>
          </w:rPr>
          <w:t>4. ОРГАНИЗАЦИЯ РАБОТ ПО ОБЕСПЕЧЕНИЮ БЕЗОПАСНОСТИ ПДн</w:t>
        </w:r>
        <w:r>
          <w:rPr>
            <w:b/>
            <w:webHidden/>
          </w:rPr>
          <w:tab/>
        </w:r>
        <w:r>
          <w:rPr>
            <w:b/>
            <w:webHidden/>
          </w:rPr>
          <w:fldChar w:fldCharType="begin"/>
        </w:r>
        <w:r>
          <w:rPr>
            <w:b/>
            <w:webHidden/>
          </w:rPr>
          <w:instrText xml:space="preserve"> PAGEREF _Toc512601163 \h </w:instrText>
        </w:r>
        <w:r w:rsidRPr="00D65EC8">
          <w:rPr>
            <w:b/>
          </w:rPr>
        </w:r>
        <w:r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>
          <w:rPr>
            <w:b/>
            <w:webHidden/>
          </w:rPr>
          <w:fldChar w:fldCharType="end"/>
        </w:r>
      </w:hyperlink>
    </w:p>
    <w:p w:rsidR="002C4753" w:rsidRDefault="002C4753" w:rsidP="0063599B">
      <w:pPr>
        <w:pStyle w:val="TOC1"/>
        <w:tabs>
          <w:tab w:val="left" w:pos="440"/>
          <w:tab w:val="right" w:leader="dot" w:pos="9345"/>
        </w:tabs>
        <w:jc w:val="left"/>
      </w:pPr>
      <w:hyperlink w:anchor="_Toc512601164" w:history="1">
        <w:r>
          <w:rPr>
            <w:rStyle w:val="Hyperlink"/>
            <w:b/>
          </w:rPr>
          <w:t>5. ПРОВЕДЕНИЕ РАБОТ ПО ОБЕСПЕЧЕНИЮ БЕЗОПАСНОСТИ ПДн</w:t>
        </w:r>
        <w:r>
          <w:rPr>
            <w:b/>
            <w:webHidden/>
          </w:rPr>
          <w:tab/>
        </w:r>
        <w:r>
          <w:rPr>
            <w:b/>
            <w:webHidden/>
          </w:rPr>
          <w:fldChar w:fldCharType="begin"/>
        </w:r>
        <w:r>
          <w:rPr>
            <w:b/>
            <w:webHidden/>
          </w:rPr>
          <w:instrText xml:space="preserve"> PAGEREF _Toc512601164 \h </w:instrText>
        </w:r>
        <w:r w:rsidRPr="00D65EC8">
          <w:rPr>
            <w:b/>
          </w:rPr>
        </w:r>
        <w:r>
          <w:rPr>
            <w:b/>
            <w:webHidden/>
          </w:rPr>
          <w:fldChar w:fldCharType="separate"/>
        </w:r>
        <w:r>
          <w:rPr>
            <w:b/>
            <w:noProof/>
            <w:webHidden/>
          </w:rPr>
          <w:t>2</w:t>
        </w:r>
        <w:r>
          <w:rPr>
            <w:b/>
            <w:webHidden/>
          </w:rPr>
          <w:fldChar w:fldCharType="end"/>
        </w:r>
      </w:hyperlink>
    </w:p>
    <w:p w:rsidR="002C4753" w:rsidRDefault="002C4753" w:rsidP="0063599B">
      <w:pPr>
        <w:pStyle w:val="TOC1"/>
        <w:tabs>
          <w:tab w:val="right" w:leader="dot" w:pos="9345"/>
        </w:tabs>
        <w:jc w:val="left"/>
      </w:pPr>
      <w:r>
        <w:fldChar w:fldCharType="end"/>
      </w:r>
    </w:p>
    <w:p w:rsidR="002C4753" w:rsidRDefault="002C4753">
      <w:pPr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753" w:rsidRDefault="002C4753" w:rsidP="004666A7">
      <w:pPr>
        <w:pStyle w:val="Heading1"/>
        <w:numPr>
          <w:ilvl w:val="0"/>
          <w:numId w:val="1"/>
        </w:numPr>
      </w:pPr>
      <w:bookmarkStart w:id="0" w:name="_Toc512601160"/>
      <w:r>
        <w:t>ТЕРМИНЫ И СОКРАЩЕНИЯ</w:t>
      </w:r>
      <w:bookmarkEnd w:id="0"/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bookmarkStart w:id="1" w:name="sub_301"/>
      <w:r>
        <w:rPr>
          <w:rFonts w:eastAsia="MS Mincho"/>
          <w:b/>
          <w:color w:val="000000"/>
        </w:rPr>
        <w:t>Персональные данные (ПДн)</w:t>
      </w:r>
      <w:r>
        <w:rPr>
          <w:rFonts w:eastAsia="MS Mincho"/>
          <w:color w:val="000000"/>
        </w:rPr>
        <w:t xml:space="preserve"> – </w:t>
      </w:r>
      <w:r>
        <w:t>любая информация, относящаяся к прямо или косвенно определенному или определяемому физическому лицу (субъекту ПДн)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bookmarkStart w:id="2" w:name="sub_302"/>
      <w:bookmarkEnd w:id="1"/>
      <w:r>
        <w:rPr>
          <w:rFonts w:eastAsia="MS Mincho"/>
          <w:b/>
          <w:color w:val="000000"/>
        </w:rPr>
        <w:t>Оператор</w:t>
      </w:r>
      <w:r>
        <w:rPr>
          <w:rFonts w:eastAsia="MS Mincho"/>
          <w:color w:val="000000"/>
        </w:rPr>
        <w:t xml:space="preserve"> – </w:t>
      </w:r>
      <w:bookmarkStart w:id="3" w:name="sub_303"/>
      <w:bookmarkEnd w:id="2"/>
      <w: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ПДн, а также определяющие цели обработки ПДн, состав ПДн, подлежащих обработке, действия (операции), совершаемые с ПДн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r>
        <w:rPr>
          <w:rFonts w:eastAsia="MS Mincho"/>
          <w:b/>
          <w:color w:val="000000"/>
        </w:rPr>
        <w:t>Обработка ПДн</w:t>
      </w:r>
      <w:r>
        <w:rPr>
          <w:rFonts w:eastAsia="MS Mincho"/>
          <w:color w:val="000000"/>
        </w:rPr>
        <w:t xml:space="preserve"> – </w:t>
      </w:r>
      <w: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ПДн</w:t>
      </w:r>
      <w:r>
        <w:rPr>
          <w:rFonts w:eastAsia="MS Mincho"/>
          <w:color w:val="000000"/>
        </w:rPr>
        <w:t>.</w:t>
      </w:r>
      <w:bookmarkStart w:id="4" w:name="sub_304"/>
      <w:bookmarkEnd w:id="3"/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r>
        <w:rPr>
          <w:b/>
        </w:rPr>
        <w:t>Автоматизированная обработка ПДн</w:t>
      </w:r>
      <w:r>
        <w:t xml:space="preserve"> – обработка ПДн с помощью средств вычислительной техники.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r>
        <w:rPr>
          <w:rFonts w:eastAsia="MS Mincho"/>
          <w:b/>
          <w:color w:val="000000"/>
        </w:rPr>
        <w:t>Распространение ПДн</w:t>
      </w:r>
      <w:r>
        <w:rPr>
          <w:rFonts w:eastAsia="MS Mincho"/>
          <w:color w:val="000000"/>
        </w:rPr>
        <w:t xml:space="preserve"> – </w:t>
      </w:r>
      <w:r>
        <w:t>действия, направленные на раскрытие ПДн неопределенному кругу лиц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r>
        <w:rPr>
          <w:b/>
        </w:rPr>
        <w:t>Предоставление ПДн</w:t>
      </w:r>
      <w:r>
        <w:t xml:space="preserve"> – действия, направленные на раскрытие ПДн определенному лицу или определенному кругу лиц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bookmarkStart w:id="5" w:name="sub_306"/>
      <w:bookmarkEnd w:id="4"/>
      <w:r>
        <w:rPr>
          <w:rFonts w:eastAsia="MS Mincho"/>
          <w:b/>
          <w:color w:val="000000"/>
        </w:rPr>
        <w:t>Блокирование ПДн</w:t>
      </w:r>
      <w:r>
        <w:rPr>
          <w:rFonts w:eastAsia="MS Mincho"/>
          <w:color w:val="000000"/>
        </w:rPr>
        <w:t xml:space="preserve"> – </w:t>
      </w:r>
      <w:r>
        <w:t>временное прекращение обработки ПДн (за исключением случаев, если обработка необходима для уточнения ПДн)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bookmarkStart w:id="6" w:name="sub_307"/>
      <w:bookmarkEnd w:id="5"/>
      <w:r>
        <w:rPr>
          <w:rFonts w:eastAsia="MS Mincho"/>
          <w:b/>
          <w:color w:val="000000"/>
        </w:rPr>
        <w:t>Уничтожение ПДн</w:t>
      </w:r>
      <w:r>
        <w:rPr>
          <w:rFonts w:eastAsia="MS Mincho"/>
          <w:color w:val="000000"/>
        </w:rPr>
        <w:t xml:space="preserve"> – </w:t>
      </w:r>
      <w:r>
        <w:t>действия, в результате которых становится невозможным восстановить содержание ПДн в ИСПДн и (или) в результате которых уничтожаются материальные носители ПДн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color w:val="000000"/>
        </w:rPr>
      </w:pPr>
      <w:bookmarkStart w:id="7" w:name="sub_308"/>
      <w:bookmarkEnd w:id="6"/>
      <w:r>
        <w:rPr>
          <w:rFonts w:eastAsia="MS Mincho"/>
          <w:b/>
          <w:color w:val="000000"/>
        </w:rPr>
        <w:t>Обезличивание ПДн</w:t>
      </w:r>
      <w:r>
        <w:rPr>
          <w:rFonts w:eastAsia="MS Mincho"/>
          <w:color w:val="000000"/>
        </w:rPr>
        <w:t xml:space="preserve"> – </w:t>
      </w:r>
      <w:r>
        <w:t>действия, в результате которых становится невозможным без использования дополнительной информации определить принадлежность ПДн конкретному субъекту ПДн</w:t>
      </w:r>
      <w:r>
        <w:rPr>
          <w:rFonts w:eastAsia="MS Mincho"/>
          <w:color w:val="000000"/>
        </w:rPr>
        <w:t>.</w:t>
      </w:r>
    </w:p>
    <w:p w:rsidR="002C4753" w:rsidRDefault="002C4753" w:rsidP="0000226C">
      <w:pPr>
        <w:tabs>
          <w:tab w:val="left" w:pos="714"/>
          <w:tab w:val="left" w:pos="1418"/>
        </w:tabs>
        <w:rPr>
          <w:rFonts w:eastAsia="MS Mincho"/>
          <w:b/>
          <w:color w:val="000000"/>
        </w:rPr>
      </w:pPr>
      <w:bookmarkStart w:id="8" w:name="sub_309"/>
      <w:bookmarkEnd w:id="7"/>
      <w:r>
        <w:rPr>
          <w:rFonts w:eastAsia="MS Mincho"/>
          <w:b/>
          <w:color w:val="000000"/>
        </w:rPr>
        <w:t>Информационная система персональных данных (ИСПДн)</w:t>
      </w:r>
      <w:r>
        <w:rPr>
          <w:rFonts w:eastAsia="MS Mincho"/>
          <w:color w:val="000000"/>
        </w:rPr>
        <w:t xml:space="preserve"> – </w:t>
      </w:r>
      <w:bookmarkStart w:id="9" w:name="sub_310"/>
      <w:bookmarkEnd w:id="8"/>
      <w:r>
        <w:t>совокупность содержащихся в базах данных ПДн и обеспечивающих их обработку информационных технологий и технических средств.</w:t>
      </w:r>
    </w:p>
    <w:bookmarkEnd w:id="9"/>
    <w:p w:rsidR="002C4753" w:rsidRDefault="002C4753" w:rsidP="0000226C">
      <w:pPr>
        <w:tabs>
          <w:tab w:val="left" w:pos="714"/>
          <w:tab w:val="left" w:pos="1418"/>
        </w:tabs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Трансграничная передача ПДн</w:t>
      </w:r>
      <w:r>
        <w:t xml:space="preserve"> – передача ПДн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2C4753" w:rsidRDefault="002C4753" w:rsidP="004666A7">
      <w:pPr>
        <w:pStyle w:val="Heading1"/>
        <w:numPr>
          <w:ilvl w:val="0"/>
          <w:numId w:val="1"/>
        </w:numPr>
      </w:pPr>
      <w:bookmarkStart w:id="10" w:name="_Toc512601161"/>
      <w:r>
        <w:t>ОБЛАСТЬ ПРИМЕНЕНИЯ</w:t>
      </w:r>
      <w:bookmarkEnd w:id="10"/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Положение об обеспечении безопасности ПДн (далее – Положение) разработано в целях выполнения требований законодательства Российской Федерации в области защиты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Положение определяет порядок и правила организации и проведения работ по обеспечению безопасности ПДн в </w:t>
      </w:r>
      <w:fldSimple w:instr="ref MERGEFIELDcompany_name \* MERGEFORMAT ">
        <w:r>
          <w:rPr>
            <w:rFonts w:ascii="Times New Roman" w:hAnsi="Times New Roman"/>
            <w:b/>
            <w:bCs/>
          </w:rPr>
          <w:t>Ошибка! Источник ссылки не найден.</w:t>
        </w:r>
      </w:fldSimple>
      <w:r>
        <w:t xml:space="preserve"> </w:t>
      </w:r>
      <w:r>
        <w:rPr>
          <w:rFonts w:ascii="Times New Roman" w:hAnsi="Times New Roman"/>
        </w:rPr>
        <w:t>(далее – Оператор).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документ учитывает положения основных нормативных правовых актов в области защиты ПДн, перечисленных в Положении о комиссии по приведению в соответствие c требованиям законодательства в области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Положение предназначено для всех работников Оператора, а также третьих лиц, получающих временный или постоянный доступ к обрабатываемым у него ПДн на законном основании. 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действует с момента его утверждения руководителем Оператора.</w:t>
      </w:r>
    </w:p>
    <w:p w:rsidR="002C4753" w:rsidRDefault="002C4753" w:rsidP="00D65EC8">
      <w:pPr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Актуализация настоящего Положения проводится не реже, чем два раза в год в соответствии с Регламентом по проведению контрольных мероприятий и реагированию на инциденты информационной безопасности в </w:t>
      </w:r>
      <w:fldSimple w:instr="ref MERGEFIELDcompany_name">
        <w:r>
          <w:rPr>
            <w:b/>
            <w:bCs/>
          </w:rPr>
          <w:t>Ошибка! Источник ссылки не найден.</w:t>
        </w:r>
      </w:fldSimple>
      <w:r>
        <w:t xml:space="preserve"> Внесение изменений в настоящее Положение либо утверждение его новой редакции производится на основании соответствующего приказа руководителя Оператора.</w:t>
      </w:r>
    </w:p>
    <w:p w:rsidR="002C4753" w:rsidRDefault="002C4753" w:rsidP="004666A7">
      <w:pPr>
        <w:pStyle w:val="Heading1"/>
        <w:numPr>
          <w:ilvl w:val="0"/>
          <w:numId w:val="1"/>
        </w:numPr>
      </w:pPr>
      <w:bookmarkStart w:id="11" w:name="_Toc512601162"/>
      <w:r>
        <w:t>ОБЩИЕ ПОЛОЖЕНИЯ</w:t>
      </w:r>
      <w:bookmarkEnd w:id="11"/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ПДн, обрабатываемые у Оператора, цели, основание и сроки их обработки указаны в Перечне обрабатываемых ПДн. 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Обработка ПДн осуществляется Оператором с использованием средств автоматизации и без их использования.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Сроки хранения ПДн устанавливаются в письменном согласии субъекта ПДн на обработку его ПДн, а также требованиями законодательства Российской Федерации, устанавливающими сроки хранения документов.</w:t>
      </w:r>
    </w:p>
    <w:p w:rsidR="002C4753" w:rsidRDefault="002C4753" w:rsidP="004666A7">
      <w:pPr>
        <w:pStyle w:val="Heading1"/>
        <w:numPr>
          <w:ilvl w:val="0"/>
          <w:numId w:val="1"/>
        </w:numPr>
      </w:pPr>
      <w:bookmarkStart w:id="12" w:name="_Toc512601163"/>
      <w:r>
        <w:t>ОРГАНИЗАЦИЯ РАБОТ ПО ОБЕСПЕЧЕНИЮ БЕЗОПАСНОСТИ ПДн</w:t>
      </w:r>
      <w:bookmarkEnd w:id="12"/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Под организацией работ по обеспечению безопасности ПДн понимается формирование и всестороннее обеспечение реализации совокупности согласованных по цели, задачам, месту и времени организационных и технических мероприятий, направленных на минимизацию как непосредственного, так и опосредованного ущерба от реализации угроз безопасности ПДн, и осуществляемых в целях: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предотвращения возможных (потенциальных) угроз безопасности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нейтрализации и/или парирования реализуемых угроз безопасности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ликвидации последствий реализации угроз безопасности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работ по обеспечению безопасности ПДн у Оператора должна осуществляться в соответствии с действующими нормативными правовыми актами и разработанными для этих целей организационно-распорядительными документами по обеспечению безопасности ПДн Оператором.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Задачи по приведению деятельности Оператора в соответствие с требованиями законодательства Российской Федерации в области ПДн возлагаются на специально создаваемую для этих целей Комиссию и лиц, ответственных за организацию обработки и обеспечение безопасности ПДн, которые могут быть включены в состав данной Комиссии.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случаях, когда Оператор на основании договора поручает обработку ПДн третьему лицу, Оператору необходимо заключить с данным лицом соглашение о соблюдении безопасности ПДн, с возложением на третье лицо обязанности по обеспечению конфиденциальности и безопасности переданных Оператором ПДн (либо включить данное обязательство в заключаемый/действующий договор).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Работы по приведению деятельности Оператора в соответствие с требованиями законодательства Российской Федерации ведутся по двум направлениям: обеспечение безопасности ПДн, обрабатываемых без использования средств автоматизации, и обеспечение безопасности ПДн в ИСПДн Оператора.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Работы по обеспечению безопасности ПДн, обрабатываемых без использования средств автоматизации, ведутся по следующим направлениям: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перечня лиц, допущенных к обработке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помещений, в которых обрабатываются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информирование работников Оператора об установленных правилах обработки ПДн и требований по их защите, повышение осведомленности в вопросах обеспечения безопасности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 и защита носителей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разграничение доступа к носителям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уничтожение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и выполнение мероприятий по обеспечению безопасности ПДн, обрабатываемых в ИСПДн Оператора, осуществляются в рамках системы защиты персональных данных ИСПДн (далее - СЗПДн), развертываемой в ИСПДн в процессе ее создания или модернизации.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СЗПДн представляет собой совокупность организационных мер и технических средств защиты информации, а также используемых в ИСПДн информационных технологий, функционирующих в соответствии с определенными целями и задачами обеспечения безопасности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СЗПДн должна являться неотъемлемой составной частью каждой вновь создаваемой ИСПДн Оператора. 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Для существующих ИСПДн, в которых в процессе их создания не были предусмотрены меры по обеспечению безопасности ПДн должен быть проведен комплекс организационных и технических мероприятий по разработке и внедрению СЗПДн.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>Структура, состав и основные функции СЗПДн определяются в соответствии с уровнем защищенности ПДн, обрабатываемых в ИСПДн и моделью угроз безопасности ПДн при их обработке в ИСПДн.</w:t>
      </w:r>
    </w:p>
    <w:p w:rsidR="002C4753" w:rsidRDefault="002C4753" w:rsidP="004666A7">
      <w:pPr>
        <w:pStyle w:val="Heading1"/>
        <w:numPr>
          <w:ilvl w:val="0"/>
          <w:numId w:val="1"/>
        </w:numPr>
      </w:pPr>
      <w:bookmarkStart w:id="13" w:name="_Toc512601164"/>
      <w:r>
        <w:t>ПРОВЕДЕНИЕ РАБОТ ПО ОБЕСПЕЧЕНИЮ БЕЗОПАСНОСТИ ПДн</w:t>
      </w:r>
      <w:bookmarkEnd w:id="13"/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целях оценки уровня защищенности, обрабатываемых у Оператора ПДн, и своевременного устранения несоответствий требованиям законодательства РФ в области защиты ПДн у Оператора раз в год должен проводиться анализ изменений процессов защиты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Анализ изменений проводится по следующим основным направлениям: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должностей и третьих лиц, имеющих доступ к ПДн, степень их участия в обработке ПДн и характер взаимодействия между собой;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помещений для обработки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и объем обрабатываемых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обработки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процедуры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 и уничтожение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обработки ПДн (автоматизированная, неавтоматизированная);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уполномоченных органов, в рамках отношений с которыми осуществляется обработка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программно-технических средств, используемых для обработки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конфигурация и топология ИСПДн в целом и ее отдельных компонент, физические, функциональные и технологические связи как внутри этих систем, так и с другими системами различного уровня и назначения;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физического подключения и логического взаимодействия компонент ИСПДн, способы подключения к сетям связи общего пользования и международного информационного обмена с определением пропускной способности линий связи;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режимы обработки ПДн в ИСПДн в целом и в отдельных компонентах;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используемого комплекса средств защиты ПДн и механизмов идентификации, аутентификации и разграничения прав доступа пользователей ИСПДн на уровне операционных систем, баз данных и прикладного программного обеспечения;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организационно-распорядительной документации, определяющей порядок обработки и защиты ПДн у Оператора;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физические меры защиты ПДн, организация пропускного режима.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анализа изменений используются для оценки корректности требований по обеспечению безопасности ПДн, обрабатываемых с использованием средств автоматизации и без использования таких средств, и при необходимости их уточнения.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 Оператора должен вестись учет действий, совершаемых работниками Оператора при обработке ПДн в ИСПДн. Действия с ПДн учитываются в log-файлах ИСПДн и/или в отдельной базе данных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Доступ к ПДн осуществляется в соответствии с Регламентом по допуску работников и третьих лиц к обработке ПДн, утвержденным Оператором.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Лица, допущенные к обработке ПДн, должны быть проинформированы: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допуске к обработке ПДн путем ознакомления с Перечнем должностей и третьих лиц, имеющих доступ к ПДн, обрабатываемым у Оператора;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категориях, обрабатываемых ПДн путем ознакомления с утвержденным Перечнем обрабатываемых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правилах осуществления обработки ПДн путем ознакомления под роспись с Положением об обработке ПДн. </w:t>
      </w:r>
    </w:p>
    <w:p w:rsidR="002C4753" w:rsidRDefault="002C4753" w:rsidP="0063599B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Неавтоматизированная обработка ПДн должна осуществляться таким образом, чтобы в отношении каждой категории ПДн можно было определить места хранения материальных носителей и установить перечень лиц, допущенных к обработке ПДн. У Оператора должен вестись учет носителей ПДн.</w:t>
      </w:r>
    </w:p>
    <w:p w:rsidR="002C4753" w:rsidRDefault="002C4753" w:rsidP="0063599B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Фиксация ПДн должна осуществляться на отдельных материальных носителях (отдельных документах). ПДн должны отделяться от иной информации.</w:t>
      </w:r>
    </w:p>
    <w:p w:rsidR="002C4753" w:rsidRDefault="002C4753" w:rsidP="0063599B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Фиксация на одном материальном носителе ПДн, цели обработки которых заведомо несовместимы, не допускается. В случае если на одном материальном носителе все же зафиксированы ПДн, цели обработки которых несовместимы, должны быть приняты меры по обеспечению раздельной обработки ПДн, в частности: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использования или распространения определенных ПДн осуществляется выборочное копирование ПДн, подлежащих распространению или использованию, способом, исключающим одновременное копирование ПДн, не подлежащих распространению и использованию, и используется (распространяется);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уничтожения или блокирования части ПДн уничтожается или блокируется материальный носитель с предварительным выборочным копированием сведений, не подлежащих уничтожению или блокированию, способом, исключающим одновременное копирование ПДн, подлежащих уничтожению или блокированию.</w:t>
      </w:r>
    </w:p>
    <w:p w:rsidR="002C4753" w:rsidRDefault="002C4753" w:rsidP="0063599B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Правила учета, хранения и уничтожения ПДн при неавтоматизированной обработке описаны в Регламенте по учёту, хранению и уничтожению носителей ПДн, утвержденном Оператором.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Должен осуществляться мониторинг фактов несанкционированного доступа к ПДн и приниматься соответствующие меры при их обнаружении. Мониторинг осуществляется Администратором безопасности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Администратором безопасности ИСПДн должен осуществляться контроль за принимаемыми мерами по обеспечению безопасности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При обработке ПДн Оператор должен иметь возможность и средства для восстановления ПДн, в случае их модификации или уничтожении вследствие несанкционированного доступа к ним.  Правила резервного копирования и восстановления ПДн Оператором установлены в Регламенте по резервному копированию ПДн, утвержденному Оператором.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Оператор определяет перечень помещений, используемых при обработке ПДн. При этом организация режима безопасности, охрана этих помещений должны обеспечивать сохранность носителей ПДн, а также исключать возможность неконтролируемого проникновения или пребывания в этих помещениях посторонних лиц.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Пользователи ИСПДн должны обеспечивать сохранность съемных носителей, содержащих ПДн. В случае утраты носителя пользователи должны немедленно сообщить об этом Администратору безопасности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Если при работе с ПДн работнику Оператора необходимо покинуть рабочее место, материальные носители ПДн должны быть защищены от неконтролируемого доступа к ним. Для этого материальные носители помещаются в отведенных для хранения места.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достижения цели обработки ПДн Оператор прекращает обработку ПДн или обеспечивает ее прекращение (если обработка ПДн осуществляется другим лицом, действующим по поручению Оператора) и уничтожает ПДн или обеспечить их уничтожение (если обработка ПДн осуществляется другим лицом, действующим по поручению Оператора) в срок, не превышающий тридцати дней с даты достижения цели обработки ПДн, если иное не предусмотрено договором, стороной которого, выгодоприобретателем или поручителем по которому является субъект ПДн. В случае если ПДн невозможно уничтожить, то они блокируются и уничтожаются в срок, не превышающий шести месяцев.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работ по созданию (модернизации) СЗПДн включает следующие стадии: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предпроектная стадия;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стадия проектирования;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стадия реализации СЗПДн;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стадия ввода в действие СЗПДн.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предпроектной стадии проводится определение уровня защищенности ПДн, обрабатываемых в ИСПДн, формируется Модель угроз безопасности ПДн при их обработке в ИСПДн, разрабатывается Техническое задание на СЗПДн.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уровня защищенности ПДн, обрабатываемых в ИСПДн осуществляется в соответствии с Регламентом по определению уровня защищенности ПДн, обрабатываемых в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ИСПДн Оператора указаны в Перечне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Уровень защищенности ПДн, обрабатываемых в ИСПДн, оформляется соответствующим актом. 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Модель угроз безопасности ПДн при их обработке в ИСПДн формируется на основании руководящих документов ФСТЭК России и ФСБ России.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Перечень актуальных угроз формируется для каждой ИСПДн Оператора с учетом условий функционирования ИСПДн и особенностей обработки 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 итогам определения уровня защищенности ПДн, обрабатываемых в ИСПДн и результатам определения актуальных угроз безопасности ПДн формируются требования по обеспечению безопасности ПДн, обрабатываемых в ИСПДн. Данные требования оформляются в виде технического задания на СЗПДн.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Стадия проектирования СЗПДн включает разработку СЗПДн в составе ИСПДн, а именно разработку разделов задания и проекта проведения по созданию (модернизации) СЗПДн в соответствии с требованиями технического задания;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Стадия реализации СЗПДн включает: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закупку совокупности используемых в СЗПДн сертифицированных технических, программных и программно-технических средств защиты информации и их установку;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подразделений и назначение лиц, ответственных за эксплуатацию средств защиты информации с их обучением;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 эксплуатационной документации на СЗПДн и средства защиты информации.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На стадии ввода в действие СЗПДн осуществляются: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предварительные испытания средств защиты информации в комплексе с другими техническими и программными средствами;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устранение несоответствий по итогам предварительных испытаний;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приемо-сдаточные испытания средств защиты информации по результатам опытной эксплуатации.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процессе функционирования ИСПДн может осуществляться модернизация СЗПДн. В обязательном порядке модернизация проводится в случае, если: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bookmarkStart w:id="14" w:name="_GoBack"/>
      <w:r>
        <w:rPr>
          <w:rFonts w:ascii="Times New Roman" w:hAnsi="Times New Roman" w:cs="Times New Roman"/>
        </w:rPr>
        <w:t>произошло изменение номенклатуры обрабатываемых ПДн, влекущее за собой изменение уровня защищенности ПДн, обрабатываемых в ИСПДн;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произошло изменение номенклатуры и/или актуальности угроз безопасности ПДн;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изменилась структура ИСПДн или технические особенности ее построения (изменился состав или структура программного обеспечения, технических средств обработки ПДн, топологии ИСПДн и т.п.);</w:t>
      </w:r>
    </w:p>
    <w:p w:rsidR="002C4753" w:rsidRDefault="002C4753" w:rsidP="00FF657D">
      <w:pPr>
        <w:pStyle w:val="Defaul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произошло изменение законодательства Российской Федерации в области ПДн, затрагивающее вопросы обеспечения безопасности ПДн при их обработке в ИСПДн.</w:t>
      </w:r>
    </w:p>
    <w:bookmarkEnd w:id="14"/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При возникновении условий, влияющих на безопасность ПДн (компрометация паролей, нарушение целостности и доступности ПДн и пр.) работник Оператора обязан незамедлительно проинформировать об этом Администратора безопасности ИСПДн.</w:t>
      </w:r>
    </w:p>
    <w:p w:rsidR="002C4753" w:rsidRDefault="002C4753" w:rsidP="007D0073">
      <w:pPr>
        <w:pStyle w:val="ListParagraph"/>
        <w:numPr>
          <w:ilvl w:val="1"/>
          <w:numId w:val="1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Лица, виновные в нарушении требований, предъявляемых законодательством РФ к защите ПДн,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2C4753" w:rsidRDefault="002C4753" w:rsidP="0063599B">
      <w:pPr>
        <w:ind w:firstLine="0"/>
        <w:sectPr w:rsidR="002C47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753" w:rsidRDefault="002C4753" w:rsidP="0063599B">
      <w:pPr>
        <w:pStyle w:val="Heading1"/>
      </w:pPr>
      <w:bookmarkStart w:id="15" w:name="_Toc492842984"/>
      <w:bookmarkStart w:id="16" w:name="_Toc426454195"/>
      <w:bookmarkStart w:id="17" w:name="_Toc512601165"/>
      <w:r>
        <w:t>Лист регистрации изменений</w:t>
      </w:r>
      <w:bookmarkEnd w:id="15"/>
      <w:bookmarkEnd w:id="16"/>
      <w:bookmarkEnd w:id="1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53" w:rsidRPr="00154D6E" w:rsidRDefault="002C4753" w:rsidP="00154D6E">
            <w:pPr>
              <w:spacing w:line="240" w:lineRule="auto"/>
              <w:ind w:firstLine="0"/>
              <w:jc w:val="center"/>
              <w:rPr>
                <w:rFonts w:cs="Adobe Garamond Pro"/>
                <w:b/>
                <w:szCs w:val="20"/>
                <w:lang w:eastAsia="ru-RU"/>
              </w:rPr>
            </w:pPr>
            <w:r w:rsidRPr="00154D6E">
              <w:rPr>
                <w:rFonts w:cs="Adobe Garamond Pro"/>
                <w:b/>
                <w:szCs w:val="20"/>
                <w:lang w:eastAsia="ru-RU"/>
              </w:rPr>
              <w:t>Порядковый номер и дата внесении изменений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53" w:rsidRPr="00154D6E" w:rsidRDefault="002C4753" w:rsidP="00154D6E">
            <w:pPr>
              <w:spacing w:line="240" w:lineRule="auto"/>
              <w:ind w:firstLine="0"/>
              <w:jc w:val="center"/>
              <w:rPr>
                <w:rFonts w:cs="Adobe Garamond Pro"/>
                <w:b/>
                <w:szCs w:val="20"/>
                <w:lang w:eastAsia="ru-RU"/>
              </w:rPr>
            </w:pPr>
            <w:r w:rsidRPr="00154D6E">
              <w:rPr>
                <w:rFonts w:cs="Adobe Garamond Pro"/>
                <w:b/>
                <w:szCs w:val="20"/>
                <w:lang w:eastAsia="ru-RU"/>
              </w:rPr>
              <w:t>Наименование документа, фиксирующего изменения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53" w:rsidRPr="00154D6E" w:rsidRDefault="002C4753" w:rsidP="00154D6E">
            <w:pPr>
              <w:spacing w:line="240" w:lineRule="auto"/>
              <w:ind w:firstLine="0"/>
              <w:jc w:val="center"/>
              <w:rPr>
                <w:rFonts w:cs="Adobe Garamond Pro"/>
                <w:b/>
                <w:szCs w:val="20"/>
                <w:lang w:eastAsia="ru-RU"/>
              </w:rPr>
            </w:pPr>
            <w:r w:rsidRPr="00154D6E">
              <w:rPr>
                <w:rFonts w:cs="Adobe Garamond Pro"/>
                <w:b/>
                <w:szCs w:val="20"/>
                <w:lang w:eastAsia="ru-RU"/>
              </w:rPr>
              <w:t>№ замененных (исправленных) листов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753" w:rsidRPr="00154D6E" w:rsidRDefault="002C4753" w:rsidP="00154D6E">
            <w:pPr>
              <w:spacing w:line="240" w:lineRule="auto"/>
              <w:ind w:firstLine="0"/>
              <w:jc w:val="center"/>
              <w:rPr>
                <w:rFonts w:cs="Adobe Garamond Pro"/>
                <w:b/>
                <w:szCs w:val="20"/>
                <w:lang w:eastAsia="ru-RU"/>
              </w:rPr>
            </w:pPr>
            <w:r w:rsidRPr="00154D6E">
              <w:rPr>
                <w:rFonts w:cs="Adobe Garamond Pro"/>
                <w:b/>
                <w:szCs w:val="20"/>
                <w:lang w:eastAsia="ru-RU"/>
              </w:rPr>
              <w:t>Подпись лица, внесшего изменения</w:t>
            </w: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  <w:tr w:rsidR="002C4753" w:rsidRPr="00154D6E" w:rsidTr="00154D6E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53" w:rsidRPr="00154D6E" w:rsidRDefault="002C4753" w:rsidP="00154D6E">
            <w:pPr>
              <w:ind w:firstLine="0"/>
              <w:jc w:val="center"/>
              <w:rPr>
                <w:rFonts w:cs="Adobe Garamond Pro"/>
                <w:szCs w:val="20"/>
                <w:lang w:eastAsia="ru-RU"/>
              </w:rPr>
            </w:pPr>
          </w:p>
        </w:tc>
      </w:tr>
    </w:tbl>
    <w:p w:rsidR="002C4753" w:rsidRDefault="002C4753" w:rsidP="0063599B">
      <w:pPr>
        <w:ind w:firstLine="0"/>
      </w:pPr>
    </w:p>
    <w:sectPr w:rsidR="002C4753" w:rsidSect="002D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753" w:rsidRDefault="002C4753">
      <w:pPr>
        <w:spacing w:line="240" w:lineRule="auto"/>
      </w:pPr>
      <w:r>
        <w:separator/>
      </w:r>
    </w:p>
  </w:endnote>
  <w:endnote w:type="continuationSeparator" w:id="0">
    <w:p w:rsidR="002C4753" w:rsidRDefault="002C4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53" w:rsidRDefault="002C475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C4753" w:rsidRDefault="002C4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753" w:rsidRDefault="002C4753">
      <w:pPr>
        <w:spacing w:line="240" w:lineRule="auto"/>
      </w:pPr>
      <w:r>
        <w:separator/>
      </w:r>
    </w:p>
  </w:footnote>
  <w:footnote w:type="continuationSeparator" w:id="0">
    <w:p w:rsidR="002C4753" w:rsidRDefault="002C47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3C9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B612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CC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7A6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107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486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0A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41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38C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DC2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834A3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160D1E70"/>
    <w:multiLevelType w:val="hybridMultilevel"/>
    <w:tmpl w:val="BDF0346C"/>
    <w:lvl w:ilvl="0" w:tplc="198437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18EA7F10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E1422E8"/>
    <w:multiLevelType w:val="hybridMultilevel"/>
    <w:tmpl w:val="B65A3C52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280619"/>
    <w:multiLevelType w:val="hybridMultilevel"/>
    <w:tmpl w:val="36BE6AFC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7F16E6"/>
    <w:multiLevelType w:val="hybridMultilevel"/>
    <w:tmpl w:val="37E0FBC6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8D5708"/>
    <w:multiLevelType w:val="hybridMultilevel"/>
    <w:tmpl w:val="769E0870"/>
    <w:lvl w:ilvl="0" w:tplc="19843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25511"/>
    <w:multiLevelType w:val="hybridMultilevel"/>
    <w:tmpl w:val="670CB472"/>
    <w:lvl w:ilvl="0" w:tplc="F788AF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FE94173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CB263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CA41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9A3A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6A7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C89F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3415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7CCCD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5B0B72"/>
    <w:multiLevelType w:val="hybridMultilevel"/>
    <w:tmpl w:val="A0BCB6B0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BC4E75"/>
    <w:multiLevelType w:val="hybridMultilevel"/>
    <w:tmpl w:val="3C56323E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413968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8F329E"/>
    <w:multiLevelType w:val="hybridMultilevel"/>
    <w:tmpl w:val="4EF0E486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1E06C6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61AA1072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65B87FA3"/>
    <w:multiLevelType w:val="hybridMultilevel"/>
    <w:tmpl w:val="D3EA3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E62B5D"/>
    <w:multiLevelType w:val="hybridMultilevel"/>
    <w:tmpl w:val="A5D0C258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BA4105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48F5018"/>
    <w:multiLevelType w:val="hybridMultilevel"/>
    <w:tmpl w:val="D95895AA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6A016E"/>
    <w:multiLevelType w:val="hybridMultilevel"/>
    <w:tmpl w:val="FA7896AC"/>
    <w:lvl w:ilvl="0" w:tplc="19843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4B2A88"/>
    <w:multiLevelType w:val="multilevel"/>
    <w:tmpl w:val="1A14B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9"/>
  </w:num>
  <w:num w:numId="2">
    <w:abstractNumId w:val="17"/>
  </w:num>
  <w:num w:numId="3">
    <w:abstractNumId w:val="24"/>
  </w:num>
  <w:num w:numId="4">
    <w:abstractNumId w:val="11"/>
  </w:num>
  <w:num w:numId="5">
    <w:abstractNumId w:val="25"/>
  </w:num>
  <w:num w:numId="6">
    <w:abstractNumId w:val="22"/>
  </w:num>
  <w:num w:numId="7">
    <w:abstractNumId w:val="27"/>
  </w:num>
  <w:num w:numId="8">
    <w:abstractNumId w:val="16"/>
  </w:num>
  <w:num w:numId="9">
    <w:abstractNumId w:val="10"/>
  </w:num>
  <w:num w:numId="10">
    <w:abstractNumId w:val="19"/>
  </w:num>
  <w:num w:numId="11">
    <w:abstractNumId w:val="15"/>
  </w:num>
  <w:num w:numId="12">
    <w:abstractNumId w:val="23"/>
  </w:num>
  <w:num w:numId="13">
    <w:abstractNumId w:val="18"/>
  </w:num>
  <w:num w:numId="14">
    <w:abstractNumId w:val="20"/>
  </w:num>
  <w:num w:numId="15">
    <w:abstractNumId w:val="28"/>
  </w:num>
  <w:num w:numId="16">
    <w:abstractNumId w:val="12"/>
  </w:num>
  <w:num w:numId="17">
    <w:abstractNumId w:val="14"/>
  </w:num>
  <w:num w:numId="18">
    <w:abstractNumId w:val="26"/>
  </w:num>
  <w:num w:numId="19">
    <w:abstractNumId w:val="21"/>
  </w:num>
  <w:num w:numId="20">
    <w:abstractNumId w:val="1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5E3"/>
    <w:rsid w:val="0000226C"/>
    <w:rsid w:val="00012605"/>
    <w:rsid w:val="000169CB"/>
    <w:rsid w:val="00091E34"/>
    <w:rsid w:val="000D1B49"/>
    <w:rsid w:val="000F35E3"/>
    <w:rsid w:val="00154D6E"/>
    <w:rsid w:val="002857D9"/>
    <w:rsid w:val="002C4753"/>
    <w:rsid w:val="002D2C46"/>
    <w:rsid w:val="002D61AD"/>
    <w:rsid w:val="003162EA"/>
    <w:rsid w:val="00351946"/>
    <w:rsid w:val="00417706"/>
    <w:rsid w:val="004666A7"/>
    <w:rsid w:val="00515EF9"/>
    <w:rsid w:val="0063599B"/>
    <w:rsid w:val="006B06C0"/>
    <w:rsid w:val="00716C52"/>
    <w:rsid w:val="007617CD"/>
    <w:rsid w:val="007D0073"/>
    <w:rsid w:val="0090621F"/>
    <w:rsid w:val="009D706F"/>
    <w:rsid w:val="00A620BB"/>
    <w:rsid w:val="00AA106B"/>
    <w:rsid w:val="00AB4D0B"/>
    <w:rsid w:val="00C73C2F"/>
    <w:rsid w:val="00D65EC8"/>
    <w:rsid w:val="00E16B29"/>
    <w:rsid w:val="00F7341C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666A7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617CD"/>
    <w:pPr>
      <w:keepNext/>
      <w:keepLines/>
      <w:spacing w:before="240" w:after="240" w:line="240" w:lineRule="auto"/>
      <w:ind w:firstLine="0"/>
      <w:jc w:val="center"/>
      <w:outlineLvl w:val="0"/>
    </w:pPr>
    <w:rPr>
      <w:rFonts w:eastAsia="Times New Roman"/>
      <w:b/>
      <w:color w:val="000000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617CD"/>
    <w:pPr>
      <w:keepNext/>
      <w:keepLines/>
      <w:spacing w:before="240" w:after="240" w:line="240" w:lineRule="auto"/>
      <w:ind w:firstLine="0"/>
      <w:jc w:val="center"/>
      <w:outlineLvl w:val="1"/>
    </w:pPr>
    <w:rPr>
      <w:rFonts w:eastAsia="Times New Roman"/>
      <w:b/>
      <w:color w:val="00000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17CD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17CD"/>
    <w:rPr>
      <w:rFonts w:ascii="Times New Roman" w:hAnsi="Times New Roman" w:cs="Times New Roman"/>
      <w:b/>
      <w:color w:val="000000"/>
      <w:sz w:val="26"/>
      <w:szCs w:val="26"/>
    </w:rPr>
  </w:style>
  <w:style w:type="paragraph" w:styleId="NoSpacing">
    <w:name w:val="No Spacing"/>
    <w:aliases w:val="Подчеркивание"/>
    <w:basedOn w:val="Normal"/>
    <w:next w:val="Normal"/>
    <w:uiPriority w:val="99"/>
    <w:qFormat/>
    <w:rsid w:val="00C73C2F"/>
    <w:pPr>
      <w:pBdr>
        <w:bottom w:val="single" w:sz="4" w:space="1" w:color="auto"/>
      </w:pBdr>
      <w:spacing w:after="240" w:line="240" w:lineRule="auto"/>
    </w:pPr>
  </w:style>
  <w:style w:type="paragraph" w:customStyle="1" w:styleId="a">
    <w:name w:val="Титульная страница"/>
    <w:basedOn w:val="Normal"/>
    <w:next w:val="Normal"/>
    <w:link w:val="a0"/>
    <w:uiPriority w:val="99"/>
    <w:rsid w:val="007617CD"/>
    <w:pPr>
      <w:spacing w:before="240" w:after="240" w:line="240" w:lineRule="auto"/>
      <w:ind w:firstLine="0"/>
      <w:jc w:val="center"/>
    </w:pPr>
    <w:rPr>
      <w:rFonts w:eastAsia="Times New Roman"/>
      <w:b/>
      <w:color w:val="000000"/>
      <w:sz w:val="32"/>
      <w:szCs w:val="32"/>
    </w:rPr>
  </w:style>
  <w:style w:type="character" w:customStyle="1" w:styleId="a0">
    <w:name w:val="Титульная страница Знак"/>
    <w:basedOn w:val="Heading1Char"/>
    <w:link w:val="a"/>
    <w:uiPriority w:val="99"/>
    <w:locked/>
    <w:rsid w:val="007617CD"/>
  </w:style>
  <w:style w:type="paragraph" w:styleId="Footer">
    <w:name w:val="footer"/>
    <w:basedOn w:val="Normal"/>
    <w:link w:val="FooterChar"/>
    <w:uiPriority w:val="99"/>
    <w:rsid w:val="004666A7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66A7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4666A7"/>
    <w:pPr>
      <w:ind w:left="720"/>
      <w:contextualSpacing/>
    </w:pPr>
    <w:rPr>
      <w:rFonts w:ascii="Calibri" w:eastAsia="Times New Roman" w:hAnsi="Calibri"/>
      <w:szCs w:val="24"/>
      <w:lang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666A7"/>
    <w:rPr>
      <w:rFonts w:eastAsia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63599B"/>
    <w:rPr>
      <w:rFonts w:ascii="Adobe Garamond Pro" w:eastAsia="Times New Roman" w:hAnsi="Adobe Garamond Pro" w:cs="Adobe Garamond Pro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63599B"/>
    <w:pPr>
      <w:spacing w:after="0" w:line="259" w:lineRule="auto"/>
      <w:jc w:val="left"/>
      <w:outlineLvl w:val="9"/>
    </w:pPr>
    <w:rPr>
      <w:rFonts w:ascii="Calibri Light" w:hAnsi="Calibri Light"/>
      <w:b w:val="0"/>
      <w:color w:val="2F5496"/>
      <w:sz w:val="32"/>
      <w:lang w:eastAsia="ru-RU"/>
    </w:rPr>
  </w:style>
  <w:style w:type="paragraph" w:styleId="TOC1">
    <w:name w:val="toc 1"/>
    <w:basedOn w:val="Normal"/>
    <w:next w:val="Normal"/>
    <w:autoRedefine/>
    <w:uiPriority w:val="99"/>
    <w:rsid w:val="0063599B"/>
    <w:pPr>
      <w:spacing w:after="100"/>
    </w:pPr>
  </w:style>
  <w:style w:type="character" w:styleId="Hyperlink">
    <w:name w:val="Hyperlink"/>
    <w:basedOn w:val="DefaultParagraphFont"/>
    <w:uiPriority w:val="99"/>
    <w:rsid w:val="0063599B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FF6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7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13</Pages>
  <Words>2649</Words>
  <Characters>15103</Characters>
  <Application>Microsoft Office Outlook</Application>
  <DocSecurity>0</DocSecurity>
  <Lines>0</Lines>
  <Paragraphs>0</Paragraphs>
  <ScaleCrop>false</ScaleCrop>
  <Company>ООО "Б152" www.b-152.ru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1; Андрей Тарановский</dc:creator>
  <cp:keywords/>
  <dc:description/>
  <cp:lastModifiedBy>BusiginaAA</cp:lastModifiedBy>
  <cp:revision>7</cp:revision>
  <cp:lastPrinted>2019-06-27T13:11:00Z</cp:lastPrinted>
  <dcterms:created xsi:type="dcterms:W3CDTF">2018-04-27T10:40:00Z</dcterms:created>
  <dcterms:modified xsi:type="dcterms:W3CDTF">2019-06-27T13:14:00Z</dcterms:modified>
</cp:coreProperties>
</file>